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F91" w:rsidRPr="00B00F91" w:rsidRDefault="00B00F91" w:rsidP="00B00F91">
      <w:pPr>
        <w:shd w:val="clear" w:color="auto" w:fill="FFFFFF"/>
        <w:spacing w:after="0" w:line="348"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fldChar w:fldCharType="begin"/>
      </w:r>
      <w:r w:rsidRPr="00B00F91">
        <w:rPr>
          <w:rFonts w:ascii="Arial" w:eastAsia="Times New Roman" w:hAnsi="Arial" w:cs="Arial"/>
          <w:color w:val="000000"/>
          <w:sz w:val="20"/>
          <w:szCs w:val="20"/>
        </w:rPr>
        <w:instrText xml:space="preserve"> HYPERLINK "http://www.ncbi.nlm.nih.gov/pubmed/25128746" \o "Resuscitation." </w:instrText>
      </w:r>
      <w:r w:rsidRPr="00B00F91">
        <w:rPr>
          <w:rFonts w:ascii="Arial" w:eastAsia="Times New Roman" w:hAnsi="Arial" w:cs="Arial"/>
          <w:color w:val="000000"/>
          <w:sz w:val="20"/>
          <w:szCs w:val="20"/>
        </w:rPr>
        <w:fldChar w:fldCharType="separate"/>
      </w:r>
      <w:r w:rsidRPr="00B00F91">
        <w:rPr>
          <w:rFonts w:ascii="Arial" w:eastAsia="Times New Roman" w:hAnsi="Arial" w:cs="Arial"/>
          <w:color w:val="660066"/>
          <w:sz w:val="20"/>
          <w:szCs w:val="20"/>
          <w:u w:val="single"/>
        </w:rPr>
        <w:t>Resuscitation.</w:t>
      </w:r>
      <w:r w:rsidRPr="00B00F91">
        <w:rPr>
          <w:rFonts w:ascii="Arial" w:eastAsia="Times New Roman" w:hAnsi="Arial" w:cs="Arial"/>
          <w:color w:val="000000"/>
          <w:sz w:val="20"/>
          <w:szCs w:val="20"/>
        </w:rPr>
        <w:fldChar w:fldCharType="end"/>
      </w:r>
      <w:r w:rsidRPr="00B00F91">
        <w:rPr>
          <w:rFonts w:ascii="Arial" w:eastAsia="Times New Roman" w:hAnsi="Arial" w:cs="Arial"/>
          <w:color w:val="000000"/>
          <w:sz w:val="20"/>
          <w:szCs w:val="20"/>
        </w:rPr>
        <w:t> 2014 Nov</w:t>
      </w:r>
      <w:proofErr w:type="gramStart"/>
      <w:r w:rsidRPr="00B00F91">
        <w:rPr>
          <w:rFonts w:ascii="Arial" w:eastAsia="Times New Roman" w:hAnsi="Arial" w:cs="Arial"/>
          <w:color w:val="000000"/>
          <w:sz w:val="20"/>
          <w:szCs w:val="20"/>
        </w:rPr>
        <w:t>;85</w:t>
      </w:r>
      <w:proofErr w:type="gramEnd"/>
      <w:r w:rsidRPr="00B00F91">
        <w:rPr>
          <w:rFonts w:ascii="Arial" w:eastAsia="Times New Roman" w:hAnsi="Arial" w:cs="Arial"/>
          <w:color w:val="000000"/>
          <w:sz w:val="20"/>
          <w:szCs w:val="20"/>
        </w:rPr>
        <w:t xml:space="preserve">(11):1488-93. </w:t>
      </w:r>
      <w:proofErr w:type="spellStart"/>
      <w:proofErr w:type="gramStart"/>
      <w:r w:rsidRPr="00B00F91">
        <w:rPr>
          <w:rFonts w:ascii="Arial" w:eastAsia="Times New Roman" w:hAnsi="Arial" w:cs="Arial"/>
          <w:color w:val="000000"/>
          <w:sz w:val="20"/>
          <w:szCs w:val="20"/>
        </w:rPr>
        <w:t>doi</w:t>
      </w:r>
      <w:proofErr w:type="spellEnd"/>
      <w:proofErr w:type="gramEnd"/>
      <w:r w:rsidRPr="00B00F91">
        <w:rPr>
          <w:rFonts w:ascii="Arial" w:eastAsia="Times New Roman" w:hAnsi="Arial" w:cs="Arial"/>
          <w:color w:val="000000"/>
          <w:sz w:val="20"/>
          <w:szCs w:val="20"/>
        </w:rPr>
        <w:t xml:space="preserve">: 10.1016/j.resuscitation.2014.07.011. </w:t>
      </w:r>
      <w:proofErr w:type="spellStart"/>
      <w:r w:rsidRPr="00B00F91">
        <w:rPr>
          <w:rFonts w:ascii="Arial" w:eastAsia="Times New Roman" w:hAnsi="Arial" w:cs="Arial"/>
          <w:color w:val="000000"/>
          <w:sz w:val="20"/>
          <w:szCs w:val="20"/>
        </w:rPr>
        <w:t>Epub</w:t>
      </w:r>
      <w:proofErr w:type="spellEnd"/>
      <w:r w:rsidRPr="00B00F91">
        <w:rPr>
          <w:rFonts w:ascii="Arial" w:eastAsia="Times New Roman" w:hAnsi="Arial" w:cs="Arial"/>
          <w:color w:val="000000"/>
          <w:sz w:val="20"/>
          <w:szCs w:val="20"/>
        </w:rPr>
        <w:t xml:space="preserve"> 2014 Aug 13.</w:t>
      </w:r>
    </w:p>
    <w:p w:rsidR="00B00F91" w:rsidRPr="00B00F91" w:rsidRDefault="00B00F91" w:rsidP="00B00F91">
      <w:pPr>
        <w:shd w:val="clear" w:color="auto" w:fill="FFFFFF"/>
        <w:spacing w:before="90" w:after="90" w:line="270" w:lineRule="atLeast"/>
        <w:outlineLvl w:val="0"/>
        <w:rPr>
          <w:rFonts w:ascii="Arial" w:eastAsia="Times New Roman" w:hAnsi="Arial" w:cs="Arial"/>
          <w:b/>
          <w:bCs/>
          <w:color w:val="000000"/>
          <w:kern w:val="36"/>
          <w:sz w:val="30"/>
          <w:szCs w:val="30"/>
        </w:rPr>
      </w:pPr>
      <w:r w:rsidRPr="00B00F91">
        <w:rPr>
          <w:rFonts w:ascii="Arial" w:eastAsia="Times New Roman" w:hAnsi="Arial" w:cs="Arial"/>
          <w:b/>
          <w:bCs/>
          <w:color w:val="000000"/>
          <w:kern w:val="36"/>
          <w:sz w:val="30"/>
          <w:szCs w:val="30"/>
        </w:rPr>
        <w:t xml:space="preserve">Survival rates in out-of-hospital cardiac arrest patients transported without </w:t>
      </w:r>
      <w:proofErr w:type="spellStart"/>
      <w:r w:rsidRPr="00B00F91">
        <w:rPr>
          <w:rFonts w:ascii="Arial" w:eastAsia="Times New Roman" w:hAnsi="Arial" w:cs="Arial"/>
          <w:b/>
          <w:bCs/>
          <w:color w:val="000000"/>
          <w:kern w:val="36"/>
          <w:sz w:val="30"/>
          <w:szCs w:val="30"/>
        </w:rPr>
        <w:t>prehospital</w:t>
      </w:r>
      <w:proofErr w:type="spellEnd"/>
      <w:r w:rsidRPr="00B00F91">
        <w:rPr>
          <w:rFonts w:ascii="Arial" w:eastAsia="Times New Roman" w:hAnsi="Arial" w:cs="Arial"/>
          <w:b/>
          <w:bCs/>
          <w:color w:val="000000"/>
          <w:kern w:val="36"/>
          <w:sz w:val="30"/>
          <w:szCs w:val="30"/>
        </w:rPr>
        <w:t xml:space="preserve"> return of spontaneous circulation: an observational cohort study.</w:t>
      </w:r>
    </w:p>
    <w:p w:rsidR="00B00F91" w:rsidRPr="00B00F91" w:rsidRDefault="00B00F91" w:rsidP="00B00F91">
      <w:pPr>
        <w:shd w:val="clear" w:color="auto" w:fill="FFFFFF"/>
        <w:spacing w:after="0" w:line="240" w:lineRule="auto"/>
        <w:rPr>
          <w:rFonts w:ascii="Arial" w:eastAsia="Times New Roman" w:hAnsi="Arial" w:cs="Arial"/>
          <w:color w:val="000000"/>
        </w:rPr>
      </w:pPr>
      <w:hyperlink r:id="rId4" w:history="1">
        <w:proofErr w:type="spellStart"/>
        <w:r w:rsidRPr="00B00F91">
          <w:rPr>
            <w:rFonts w:ascii="Arial" w:eastAsia="Times New Roman" w:hAnsi="Arial" w:cs="Arial"/>
            <w:color w:val="660066"/>
            <w:u w:val="single"/>
          </w:rPr>
          <w:t>Drennan</w:t>
        </w:r>
        <w:proofErr w:type="spellEnd"/>
        <w:r w:rsidRPr="00B00F91">
          <w:rPr>
            <w:rFonts w:ascii="Arial" w:eastAsia="Times New Roman" w:hAnsi="Arial" w:cs="Arial"/>
            <w:color w:val="660066"/>
            <w:u w:val="single"/>
          </w:rPr>
          <w:t xml:space="preserve"> IR</w:t>
        </w:r>
      </w:hyperlink>
      <w:r w:rsidRPr="00B00F91">
        <w:rPr>
          <w:rFonts w:ascii="Arial" w:eastAsia="Times New Roman" w:hAnsi="Arial" w:cs="Arial"/>
          <w:color w:val="000000"/>
          <w:sz w:val="19"/>
          <w:szCs w:val="19"/>
          <w:vertAlign w:val="superscript"/>
        </w:rPr>
        <w:t>1</w:t>
      </w:r>
      <w:r w:rsidRPr="00B00F91">
        <w:rPr>
          <w:rFonts w:ascii="Arial" w:eastAsia="Times New Roman" w:hAnsi="Arial" w:cs="Arial"/>
          <w:color w:val="000000"/>
        </w:rPr>
        <w:t>, </w:t>
      </w:r>
      <w:hyperlink r:id="rId5" w:history="1">
        <w:r w:rsidRPr="00B00F91">
          <w:rPr>
            <w:rFonts w:ascii="Arial" w:eastAsia="Times New Roman" w:hAnsi="Arial" w:cs="Arial"/>
            <w:color w:val="660066"/>
            <w:u w:val="single"/>
          </w:rPr>
          <w:t>Lin S</w:t>
        </w:r>
      </w:hyperlink>
      <w:r w:rsidRPr="00B00F91">
        <w:rPr>
          <w:rFonts w:ascii="Arial" w:eastAsia="Times New Roman" w:hAnsi="Arial" w:cs="Arial"/>
          <w:color w:val="000000"/>
          <w:sz w:val="19"/>
          <w:szCs w:val="19"/>
          <w:vertAlign w:val="superscript"/>
        </w:rPr>
        <w:t>2</w:t>
      </w:r>
      <w:r w:rsidRPr="00B00F91">
        <w:rPr>
          <w:rFonts w:ascii="Arial" w:eastAsia="Times New Roman" w:hAnsi="Arial" w:cs="Arial"/>
          <w:color w:val="000000"/>
        </w:rPr>
        <w:t>, </w:t>
      </w:r>
      <w:proofErr w:type="spellStart"/>
      <w:r w:rsidRPr="00B00F91">
        <w:rPr>
          <w:rFonts w:ascii="Arial" w:eastAsia="Times New Roman" w:hAnsi="Arial" w:cs="Arial"/>
          <w:color w:val="000000"/>
        </w:rPr>
        <w:fldChar w:fldCharType="begin"/>
      </w:r>
      <w:r w:rsidRPr="00B00F91">
        <w:rPr>
          <w:rFonts w:ascii="Arial" w:eastAsia="Times New Roman" w:hAnsi="Arial" w:cs="Arial"/>
          <w:color w:val="000000"/>
        </w:rPr>
        <w:instrText xml:space="preserve"> HYPERLINK "http://www.ncbi.nlm.nih.gov/pubmed/?term=Sidalak%20DE%5BAuthor%5D&amp;cauthor=true&amp;cauthor_uid=25128746" </w:instrText>
      </w:r>
      <w:r w:rsidRPr="00B00F91">
        <w:rPr>
          <w:rFonts w:ascii="Arial" w:eastAsia="Times New Roman" w:hAnsi="Arial" w:cs="Arial"/>
          <w:color w:val="000000"/>
        </w:rPr>
        <w:fldChar w:fldCharType="separate"/>
      </w:r>
      <w:r w:rsidRPr="00B00F91">
        <w:rPr>
          <w:rFonts w:ascii="Arial" w:eastAsia="Times New Roman" w:hAnsi="Arial" w:cs="Arial"/>
          <w:color w:val="660066"/>
          <w:u w:val="single"/>
        </w:rPr>
        <w:t>Sidalak</w:t>
      </w:r>
      <w:proofErr w:type="spellEnd"/>
      <w:r w:rsidRPr="00B00F91">
        <w:rPr>
          <w:rFonts w:ascii="Arial" w:eastAsia="Times New Roman" w:hAnsi="Arial" w:cs="Arial"/>
          <w:color w:val="660066"/>
          <w:u w:val="single"/>
        </w:rPr>
        <w:t xml:space="preserve"> DE</w:t>
      </w:r>
      <w:r w:rsidRPr="00B00F91">
        <w:rPr>
          <w:rFonts w:ascii="Arial" w:eastAsia="Times New Roman" w:hAnsi="Arial" w:cs="Arial"/>
          <w:color w:val="000000"/>
        </w:rPr>
        <w:fldChar w:fldCharType="end"/>
      </w:r>
      <w:r w:rsidRPr="00B00F91">
        <w:rPr>
          <w:rFonts w:ascii="Arial" w:eastAsia="Times New Roman" w:hAnsi="Arial" w:cs="Arial"/>
          <w:color w:val="000000"/>
          <w:sz w:val="19"/>
          <w:szCs w:val="19"/>
          <w:vertAlign w:val="superscript"/>
        </w:rPr>
        <w:t>3</w:t>
      </w:r>
      <w:r w:rsidRPr="00B00F91">
        <w:rPr>
          <w:rFonts w:ascii="Arial" w:eastAsia="Times New Roman" w:hAnsi="Arial" w:cs="Arial"/>
          <w:color w:val="000000"/>
        </w:rPr>
        <w:t>, </w:t>
      </w:r>
      <w:hyperlink r:id="rId6" w:history="1">
        <w:r w:rsidRPr="00B00F91">
          <w:rPr>
            <w:rFonts w:ascii="Arial" w:eastAsia="Times New Roman" w:hAnsi="Arial" w:cs="Arial"/>
            <w:color w:val="660066"/>
            <w:u w:val="single"/>
          </w:rPr>
          <w:t>Morrison LJ</w:t>
        </w:r>
      </w:hyperlink>
      <w:r w:rsidRPr="00B00F91">
        <w:rPr>
          <w:rFonts w:ascii="Arial" w:eastAsia="Times New Roman" w:hAnsi="Arial" w:cs="Arial"/>
          <w:color w:val="000000"/>
          <w:sz w:val="19"/>
          <w:szCs w:val="19"/>
          <w:vertAlign w:val="superscript"/>
        </w:rPr>
        <w:t>4</w:t>
      </w:r>
      <w:r w:rsidRPr="00B00F91">
        <w:rPr>
          <w:rFonts w:ascii="Arial" w:eastAsia="Times New Roman" w:hAnsi="Arial" w:cs="Arial"/>
          <w:color w:val="000000"/>
        </w:rPr>
        <w:t>.</w:t>
      </w:r>
    </w:p>
    <w:p w:rsidR="00B00F91" w:rsidRPr="00B00F91" w:rsidRDefault="00B00F91" w:rsidP="00B00F91">
      <w:pPr>
        <w:shd w:val="clear" w:color="auto" w:fill="FFFFFF"/>
        <w:spacing w:after="0" w:line="240" w:lineRule="auto"/>
        <w:outlineLvl w:val="2"/>
        <w:rPr>
          <w:rFonts w:ascii="Arial" w:eastAsia="Times New Roman" w:hAnsi="Arial" w:cs="Arial"/>
          <w:b/>
          <w:bCs/>
          <w:color w:val="724128"/>
        </w:rPr>
      </w:pPr>
      <w:hyperlink r:id="rId7" w:tooltip="Open/close author information list" w:history="1">
        <w:r w:rsidRPr="00B00F91">
          <w:rPr>
            <w:rFonts w:ascii="Arial" w:eastAsia="Times New Roman" w:hAnsi="Arial" w:cs="Arial"/>
            <w:b/>
            <w:bCs/>
            <w:color w:val="660066"/>
            <w:sz w:val="21"/>
            <w:szCs w:val="21"/>
            <w:u w:val="single"/>
          </w:rPr>
          <w:t>Author information</w:t>
        </w:r>
      </w:hyperlink>
    </w:p>
    <w:p w:rsidR="00B00F91" w:rsidRPr="00B00F91" w:rsidRDefault="00B00F91" w:rsidP="00B00F91">
      <w:pPr>
        <w:shd w:val="clear" w:color="auto" w:fill="FFFFFF"/>
        <w:spacing w:after="0" w:line="240" w:lineRule="auto"/>
        <w:outlineLvl w:val="2"/>
        <w:rPr>
          <w:rFonts w:ascii="Arial" w:eastAsia="Times New Roman" w:hAnsi="Arial" w:cs="Arial"/>
          <w:b/>
          <w:bCs/>
          <w:color w:val="985735"/>
        </w:rPr>
      </w:pPr>
      <w:r w:rsidRPr="00B00F91">
        <w:rPr>
          <w:rFonts w:ascii="Arial" w:eastAsia="Times New Roman" w:hAnsi="Arial" w:cs="Arial"/>
          <w:b/>
          <w:bCs/>
          <w:color w:val="985735"/>
        </w:rPr>
        <w:t>Abstract</w:t>
      </w:r>
    </w:p>
    <w:p w:rsidR="00B00F91" w:rsidRPr="00B00F91" w:rsidRDefault="00B00F91" w:rsidP="00B00F91">
      <w:pPr>
        <w:shd w:val="clear" w:color="auto" w:fill="FFFFFF"/>
        <w:spacing w:after="0" w:line="270" w:lineRule="atLeast"/>
        <w:ind w:right="60"/>
        <w:outlineLvl w:val="3"/>
        <w:rPr>
          <w:rFonts w:ascii="Arial" w:eastAsia="Times New Roman" w:hAnsi="Arial" w:cs="Arial"/>
          <w:b/>
          <w:bCs/>
          <w:caps/>
          <w:color w:val="000000"/>
          <w:sz w:val="20"/>
          <w:szCs w:val="20"/>
        </w:rPr>
      </w:pPr>
      <w:r w:rsidRPr="00B00F91">
        <w:rPr>
          <w:rFonts w:ascii="Arial" w:eastAsia="Times New Roman" w:hAnsi="Arial" w:cs="Arial"/>
          <w:b/>
          <w:bCs/>
          <w:caps/>
          <w:color w:val="000000"/>
          <w:sz w:val="20"/>
          <w:szCs w:val="20"/>
        </w:rPr>
        <w:t>BACKGROUND:</w:t>
      </w:r>
    </w:p>
    <w:p w:rsidR="00B00F91" w:rsidRPr="00B00F91" w:rsidRDefault="00B00F91" w:rsidP="00B00F91">
      <w:pPr>
        <w:shd w:val="clear" w:color="auto" w:fill="FFFFFF"/>
        <w:spacing w:after="120" w:line="270"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t xml:space="preserve">Some Emergency Medical Services currently use just one component of the Universal Termination of Resuscitation (TOR) Guideline, the absence of </w:t>
      </w:r>
      <w:proofErr w:type="spellStart"/>
      <w:r w:rsidRPr="00B00F91">
        <w:rPr>
          <w:rFonts w:ascii="Arial" w:eastAsia="Times New Roman" w:hAnsi="Arial" w:cs="Arial"/>
          <w:color w:val="000000"/>
          <w:sz w:val="20"/>
          <w:szCs w:val="20"/>
        </w:rPr>
        <w:t>prehospital</w:t>
      </w:r>
      <w:proofErr w:type="spellEnd"/>
      <w:r w:rsidRPr="00B00F91">
        <w:rPr>
          <w:rFonts w:ascii="Arial" w:eastAsia="Times New Roman" w:hAnsi="Arial" w:cs="Arial"/>
          <w:color w:val="000000"/>
          <w:sz w:val="20"/>
          <w:szCs w:val="20"/>
        </w:rPr>
        <w:t xml:space="preserve"> return of spontaneous circulation (ROSC), as the single criteria to terminate resuscitation, which may deny transport to potential survivors.</w:t>
      </w:r>
    </w:p>
    <w:p w:rsidR="00B00F91" w:rsidRPr="00B00F91" w:rsidRDefault="00B00F91" w:rsidP="00B00F91">
      <w:pPr>
        <w:shd w:val="clear" w:color="auto" w:fill="FFFFFF"/>
        <w:spacing w:after="0" w:line="270" w:lineRule="atLeast"/>
        <w:ind w:right="60"/>
        <w:outlineLvl w:val="3"/>
        <w:rPr>
          <w:rFonts w:ascii="Arial" w:eastAsia="Times New Roman" w:hAnsi="Arial" w:cs="Arial"/>
          <w:b/>
          <w:bCs/>
          <w:caps/>
          <w:color w:val="000000"/>
          <w:sz w:val="20"/>
          <w:szCs w:val="20"/>
        </w:rPr>
      </w:pPr>
      <w:r w:rsidRPr="00B00F91">
        <w:rPr>
          <w:rFonts w:ascii="Arial" w:eastAsia="Times New Roman" w:hAnsi="Arial" w:cs="Arial"/>
          <w:b/>
          <w:bCs/>
          <w:caps/>
          <w:color w:val="000000"/>
          <w:sz w:val="20"/>
          <w:szCs w:val="20"/>
        </w:rPr>
        <w:t>OBJECTIVE:</w:t>
      </w:r>
    </w:p>
    <w:p w:rsidR="00B00F91" w:rsidRPr="00B00F91" w:rsidRDefault="00B00F91" w:rsidP="00B00F91">
      <w:pPr>
        <w:shd w:val="clear" w:color="auto" w:fill="FFFFFF"/>
        <w:spacing w:after="120" w:line="270"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t xml:space="preserve">This study aimed to report the survival to hospital discharge rate in non-traumatic, adult out-of-hospital cardiac arrest (OHCA) patients transported to hospital without a </w:t>
      </w:r>
      <w:proofErr w:type="spellStart"/>
      <w:r w:rsidRPr="00B00F91">
        <w:rPr>
          <w:rFonts w:ascii="Arial" w:eastAsia="Times New Roman" w:hAnsi="Arial" w:cs="Arial"/>
          <w:color w:val="000000"/>
          <w:sz w:val="20"/>
          <w:szCs w:val="20"/>
        </w:rPr>
        <w:t>prehospital</w:t>
      </w:r>
      <w:proofErr w:type="spellEnd"/>
      <w:r w:rsidRPr="00B00F91">
        <w:rPr>
          <w:rFonts w:ascii="Arial" w:eastAsia="Times New Roman" w:hAnsi="Arial" w:cs="Arial"/>
          <w:color w:val="000000"/>
          <w:sz w:val="20"/>
          <w:szCs w:val="20"/>
        </w:rPr>
        <w:t xml:space="preserve"> ROSC.</w:t>
      </w:r>
    </w:p>
    <w:p w:rsidR="00B00F91" w:rsidRPr="00B00F91" w:rsidRDefault="00B00F91" w:rsidP="00B00F91">
      <w:pPr>
        <w:shd w:val="clear" w:color="auto" w:fill="FFFFFF"/>
        <w:spacing w:after="0" w:line="270" w:lineRule="atLeast"/>
        <w:ind w:right="60"/>
        <w:outlineLvl w:val="3"/>
        <w:rPr>
          <w:rFonts w:ascii="Arial" w:eastAsia="Times New Roman" w:hAnsi="Arial" w:cs="Arial"/>
          <w:b/>
          <w:bCs/>
          <w:caps/>
          <w:color w:val="000000"/>
          <w:sz w:val="20"/>
          <w:szCs w:val="20"/>
        </w:rPr>
      </w:pPr>
      <w:r w:rsidRPr="00B00F91">
        <w:rPr>
          <w:rFonts w:ascii="Arial" w:eastAsia="Times New Roman" w:hAnsi="Arial" w:cs="Arial"/>
          <w:b/>
          <w:bCs/>
          <w:caps/>
          <w:color w:val="000000"/>
          <w:sz w:val="20"/>
          <w:szCs w:val="20"/>
        </w:rPr>
        <w:t>METHODS:</w:t>
      </w:r>
    </w:p>
    <w:p w:rsidR="00B00F91" w:rsidRPr="00B00F91" w:rsidRDefault="00B00F91" w:rsidP="00B00F91">
      <w:pPr>
        <w:shd w:val="clear" w:color="auto" w:fill="FFFFFF"/>
        <w:spacing w:after="120" w:line="270"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t xml:space="preserve">An observational study of OHCA patients without a </w:t>
      </w:r>
      <w:proofErr w:type="spellStart"/>
      <w:r w:rsidRPr="00B00F91">
        <w:rPr>
          <w:rFonts w:ascii="Arial" w:eastAsia="Times New Roman" w:hAnsi="Arial" w:cs="Arial"/>
          <w:color w:val="000000"/>
          <w:sz w:val="20"/>
          <w:szCs w:val="20"/>
        </w:rPr>
        <w:t>prehospital</w:t>
      </w:r>
      <w:proofErr w:type="spellEnd"/>
      <w:r w:rsidRPr="00B00F91">
        <w:rPr>
          <w:rFonts w:ascii="Arial" w:eastAsia="Times New Roman" w:hAnsi="Arial" w:cs="Arial"/>
          <w:color w:val="000000"/>
          <w:sz w:val="20"/>
          <w:szCs w:val="20"/>
        </w:rPr>
        <w:t xml:space="preserve"> ROSC who met the Universal TOR Guideline for transport to hospital with ongoing resuscitation. Multivariable logistic regression was used to determine the association of each variable with survival to hospital discharge.</w:t>
      </w:r>
    </w:p>
    <w:p w:rsidR="00B00F91" w:rsidRPr="00B00F91" w:rsidRDefault="00B00F91" w:rsidP="00B00F91">
      <w:pPr>
        <w:shd w:val="clear" w:color="auto" w:fill="FFFFFF"/>
        <w:spacing w:after="0" w:line="270" w:lineRule="atLeast"/>
        <w:ind w:right="60"/>
        <w:outlineLvl w:val="3"/>
        <w:rPr>
          <w:rFonts w:ascii="Arial" w:eastAsia="Times New Roman" w:hAnsi="Arial" w:cs="Arial"/>
          <w:b/>
          <w:bCs/>
          <w:caps/>
          <w:color w:val="000000"/>
          <w:sz w:val="20"/>
          <w:szCs w:val="20"/>
        </w:rPr>
      </w:pPr>
      <w:r w:rsidRPr="00B00F91">
        <w:rPr>
          <w:rFonts w:ascii="Arial" w:eastAsia="Times New Roman" w:hAnsi="Arial" w:cs="Arial"/>
          <w:b/>
          <w:bCs/>
          <w:caps/>
          <w:color w:val="000000"/>
          <w:sz w:val="20"/>
          <w:szCs w:val="20"/>
        </w:rPr>
        <w:t>RESULTS:</w:t>
      </w:r>
    </w:p>
    <w:p w:rsidR="00B00F91" w:rsidRPr="00B00F91" w:rsidRDefault="00B00F91" w:rsidP="00B00F91">
      <w:pPr>
        <w:shd w:val="clear" w:color="auto" w:fill="FFFFFF"/>
        <w:spacing w:after="120" w:line="270"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t xml:space="preserve">Of 20,207 OHCA treated by EMS, 3374 (16.4%) did not have a </w:t>
      </w:r>
      <w:proofErr w:type="spellStart"/>
      <w:r w:rsidRPr="00B00F91">
        <w:rPr>
          <w:rFonts w:ascii="Arial" w:eastAsia="Times New Roman" w:hAnsi="Arial" w:cs="Arial"/>
          <w:color w:val="000000"/>
          <w:sz w:val="20"/>
          <w:szCs w:val="20"/>
        </w:rPr>
        <w:t>prehospital</w:t>
      </w:r>
      <w:proofErr w:type="spellEnd"/>
      <w:r w:rsidRPr="00B00F91">
        <w:rPr>
          <w:rFonts w:ascii="Arial" w:eastAsia="Times New Roman" w:hAnsi="Arial" w:cs="Arial"/>
          <w:color w:val="000000"/>
          <w:sz w:val="20"/>
          <w:szCs w:val="20"/>
        </w:rPr>
        <w:t xml:space="preserve"> ROSC but met the Universal TOR guideline for transport to hospital with ongoing resuscitation. Of these patients, 122 (3.6%) survived to hospital discharge. Survival to discharge was associated with initial </w:t>
      </w:r>
      <w:proofErr w:type="spellStart"/>
      <w:r w:rsidRPr="00B00F91">
        <w:rPr>
          <w:rFonts w:ascii="Arial" w:eastAsia="Times New Roman" w:hAnsi="Arial" w:cs="Arial"/>
          <w:color w:val="000000"/>
          <w:sz w:val="20"/>
          <w:szCs w:val="20"/>
        </w:rPr>
        <w:t>shockable</w:t>
      </w:r>
      <w:proofErr w:type="spellEnd"/>
      <w:r w:rsidRPr="00B00F91">
        <w:rPr>
          <w:rFonts w:ascii="Arial" w:eastAsia="Times New Roman" w:hAnsi="Arial" w:cs="Arial"/>
          <w:color w:val="000000"/>
          <w:sz w:val="20"/>
          <w:szCs w:val="20"/>
        </w:rPr>
        <w:t xml:space="preserve"> VF/VT rhythms (OR 5.07; 95% CI 2.77-9.30), EMS-witnessed arrests (OR 3.51; 95% CI 1.73-7.15), bystander-witnessed arrests (OR 2.11; 95% CI 1.18-3.77), and public locations (OR 1.57; 95% CI 1.02-2.40).</w:t>
      </w:r>
    </w:p>
    <w:p w:rsidR="00B00F91" w:rsidRPr="00B00F91" w:rsidRDefault="00B00F91" w:rsidP="00B00F91">
      <w:pPr>
        <w:shd w:val="clear" w:color="auto" w:fill="FFFFFF"/>
        <w:spacing w:after="0" w:line="270" w:lineRule="atLeast"/>
        <w:ind w:right="60"/>
        <w:outlineLvl w:val="3"/>
        <w:rPr>
          <w:rFonts w:ascii="Arial" w:eastAsia="Times New Roman" w:hAnsi="Arial" w:cs="Arial"/>
          <w:b/>
          <w:bCs/>
          <w:caps/>
          <w:color w:val="000000"/>
          <w:sz w:val="20"/>
          <w:szCs w:val="20"/>
        </w:rPr>
      </w:pPr>
      <w:r w:rsidRPr="00B00F91">
        <w:rPr>
          <w:rFonts w:ascii="Arial" w:eastAsia="Times New Roman" w:hAnsi="Arial" w:cs="Arial"/>
          <w:b/>
          <w:bCs/>
          <w:caps/>
          <w:color w:val="000000"/>
          <w:sz w:val="20"/>
          <w:szCs w:val="20"/>
        </w:rPr>
        <w:t>CONCLUSION:</w:t>
      </w:r>
    </w:p>
    <w:p w:rsidR="00B00F91" w:rsidRPr="00B00F91" w:rsidRDefault="00B00F91" w:rsidP="00B00F91">
      <w:pPr>
        <w:shd w:val="clear" w:color="auto" w:fill="FFFFFF"/>
        <w:spacing w:after="120" w:line="270"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t xml:space="preserve">In OHCA patients without a </w:t>
      </w:r>
      <w:proofErr w:type="spellStart"/>
      <w:r w:rsidRPr="00B00F91">
        <w:rPr>
          <w:rFonts w:ascii="Arial" w:eastAsia="Times New Roman" w:hAnsi="Arial" w:cs="Arial"/>
          <w:color w:val="000000"/>
          <w:sz w:val="20"/>
          <w:szCs w:val="20"/>
        </w:rPr>
        <w:t>prehospital</w:t>
      </w:r>
      <w:proofErr w:type="spellEnd"/>
      <w:r w:rsidRPr="00B00F91">
        <w:rPr>
          <w:rFonts w:ascii="Arial" w:eastAsia="Times New Roman" w:hAnsi="Arial" w:cs="Arial"/>
          <w:color w:val="000000"/>
          <w:sz w:val="20"/>
          <w:szCs w:val="20"/>
        </w:rPr>
        <w:t xml:space="preserve"> ROSC who met the Universal TOR Guideline for transport with ongoing resuscitation survival rates were above the 1% futility rate. Employing only the lack of ROSC as criteria for termination of resuscitation may miss survivors after OHCA.</w:t>
      </w:r>
    </w:p>
    <w:p w:rsidR="00B00F91" w:rsidRPr="00B00F91" w:rsidRDefault="00B00F91" w:rsidP="00B00F91">
      <w:pPr>
        <w:shd w:val="clear" w:color="auto" w:fill="FFFFFF"/>
        <w:spacing w:after="120" w:line="270" w:lineRule="atLeast"/>
        <w:rPr>
          <w:rFonts w:ascii="Arial" w:eastAsia="Times New Roman" w:hAnsi="Arial" w:cs="Arial"/>
          <w:color w:val="000000"/>
          <w:sz w:val="20"/>
          <w:szCs w:val="20"/>
        </w:rPr>
      </w:pPr>
      <w:r w:rsidRPr="00B00F91">
        <w:rPr>
          <w:rFonts w:ascii="Arial" w:eastAsia="Times New Roman" w:hAnsi="Arial" w:cs="Arial"/>
          <w:color w:val="000000"/>
          <w:sz w:val="20"/>
          <w:szCs w:val="20"/>
        </w:rPr>
        <w:t>Copyright © 2014 Elsevier Ireland Ltd. All rights reserved.</w:t>
      </w:r>
    </w:p>
    <w:p w:rsidR="00DE2C3C" w:rsidRDefault="00DE2C3C">
      <w:bookmarkStart w:id="0" w:name="_GoBack"/>
      <w:bookmarkEnd w:id="0"/>
    </w:p>
    <w:sectPr w:rsidR="00DE2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F91"/>
    <w:rsid w:val="00B00F91"/>
    <w:rsid w:val="00DE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B7283-D4B6-40F9-96E3-1AFFF365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0F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00F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00F9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F9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00F9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00F91"/>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00F91"/>
    <w:rPr>
      <w:color w:val="0000FF"/>
      <w:u w:val="single"/>
    </w:rPr>
  </w:style>
  <w:style w:type="character" w:customStyle="1" w:styleId="apple-converted-space">
    <w:name w:val="apple-converted-space"/>
    <w:basedOn w:val="DefaultParagraphFont"/>
    <w:rsid w:val="00B00F91"/>
  </w:style>
  <w:style w:type="character" w:customStyle="1" w:styleId="ui-ncbitoggler-master-text">
    <w:name w:val="ui-ncbitoggler-master-text"/>
    <w:basedOn w:val="DefaultParagraphFont"/>
    <w:rsid w:val="00B00F91"/>
  </w:style>
  <w:style w:type="paragraph" w:styleId="NormalWeb">
    <w:name w:val="Normal (Web)"/>
    <w:basedOn w:val="Normal"/>
    <w:uiPriority w:val="99"/>
    <w:semiHidden/>
    <w:unhideWhenUsed/>
    <w:rsid w:val="00B00F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64506">
      <w:bodyDiv w:val="1"/>
      <w:marLeft w:val="0"/>
      <w:marRight w:val="0"/>
      <w:marTop w:val="0"/>
      <w:marBottom w:val="0"/>
      <w:divBdr>
        <w:top w:val="none" w:sz="0" w:space="0" w:color="auto"/>
        <w:left w:val="none" w:sz="0" w:space="0" w:color="auto"/>
        <w:bottom w:val="none" w:sz="0" w:space="0" w:color="auto"/>
        <w:right w:val="none" w:sz="0" w:space="0" w:color="auto"/>
      </w:divBdr>
      <w:divsChild>
        <w:div w:id="410201612">
          <w:marLeft w:val="0"/>
          <w:marRight w:val="0"/>
          <w:marTop w:val="240"/>
          <w:marBottom w:val="100"/>
          <w:divBdr>
            <w:top w:val="none" w:sz="0" w:space="0" w:color="auto"/>
            <w:left w:val="none" w:sz="0" w:space="0" w:color="auto"/>
            <w:bottom w:val="none" w:sz="0" w:space="0" w:color="auto"/>
            <w:right w:val="none" w:sz="0" w:space="0" w:color="auto"/>
          </w:divBdr>
          <w:divsChild>
            <w:div w:id="21022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cbi.nlm.nih.gov/pubmed/251287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pubmed/?term=Morrison%20LJ%5BAuthor%5D&amp;cauthor=true&amp;cauthor_uid=25128746" TargetMode="External"/><Relationship Id="rId5" Type="http://schemas.openxmlformats.org/officeDocument/2006/relationships/hyperlink" Target="http://www.ncbi.nlm.nih.gov/pubmed/?term=Lin%20S%5BAuthor%5D&amp;cauthor=true&amp;cauthor_uid=25128746" TargetMode="External"/><Relationship Id="rId4" Type="http://schemas.openxmlformats.org/officeDocument/2006/relationships/hyperlink" Target="http://www.ncbi.nlm.nih.gov/pubmed/?term=Drennan%20IR%5BAuthor%5D&amp;cauthor=true&amp;cauthor_uid=2512874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Braithwaite</dc:creator>
  <cp:keywords/>
  <dc:description/>
  <cp:lastModifiedBy>Susan Braithwaite</cp:lastModifiedBy>
  <cp:revision>1</cp:revision>
  <dcterms:created xsi:type="dcterms:W3CDTF">2015-08-05T16:47:00Z</dcterms:created>
  <dcterms:modified xsi:type="dcterms:W3CDTF">2015-08-05T16:47:00Z</dcterms:modified>
</cp:coreProperties>
</file>